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887" w:type="dxa"/>
        <w:jc w:val="center"/>
        <w:tblLook w:val="04A0" w:firstRow="1" w:lastRow="0" w:firstColumn="1" w:lastColumn="0" w:noHBand="0" w:noVBand="1"/>
      </w:tblPr>
      <w:tblGrid>
        <w:gridCol w:w="988"/>
        <w:gridCol w:w="2976"/>
        <w:gridCol w:w="993"/>
        <w:gridCol w:w="2976"/>
        <w:gridCol w:w="5954"/>
      </w:tblGrid>
      <w:tr w:rsidR="009243B9" w:rsidTr="00A368EC">
        <w:trPr>
          <w:tblHeader/>
          <w:jc w:val="center"/>
        </w:trPr>
        <w:tc>
          <w:tcPr>
            <w:tcW w:w="3964" w:type="dxa"/>
            <w:gridSpan w:val="2"/>
            <w:shd w:val="clear" w:color="auto" w:fill="E59EDC" w:themeFill="accent5" w:themeFillTint="6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9243B9" w:rsidRPr="009243B9" w:rsidRDefault="009243B9" w:rsidP="009243B9">
            <w:pPr>
              <w:jc w:val="center"/>
              <w:rPr>
                <w:b/>
                <w:bCs/>
              </w:rPr>
            </w:pPr>
            <w:r w:rsidRPr="009243B9">
              <w:rPr>
                <w:rFonts w:ascii="Calibri" w:eastAsia="Calibri" w:hAnsi="Calibri"/>
                <w:b/>
                <w:bCs/>
                <w:sz w:val="22"/>
              </w:rPr>
              <w:t>ISO 14001: 2015</w:t>
            </w:r>
          </w:p>
        </w:tc>
        <w:tc>
          <w:tcPr>
            <w:tcW w:w="3969" w:type="dxa"/>
            <w:gridSpan w:val="2"/>
            <w:shd w:val="clear" w:color="auto" w:fill="E59EDC" w:themeFill="accent5" w:themeFillTint="6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9243B9" w:rsidRPr="009243B9" w:rsidRDefault="009243B9" w:rsidP="009243B9">
            <w:pPr>
              <w:jc w:val="center"/>
              <w:rPr>
                <w:b/>
                <w:bCs/>
              </w:rPr>
            </w:pPr>
            <w:r w:rsidRPr="009243B9">
              <w:rPr>
                <w:rFonts w:ascii="Calibri" w:eastAsia="Calibri" w:hAnsi="Calibri"/>
                <w:b/>
                <w:bCs/>
                <w:sz w:val="22"/>
              </w:rPr>
              <w:t>ISO/FDIS 14001: 2026</w:t>
            </w:r>
          </w:p>
        </w:tc>
        <w:tc>
          <w:tcPr>
            <w:tcW w:w="5954" w:type="dxa"/>
            <w:vMerge w:val="restart"/>
            <w:shd w:val="clear" w:color="auto" w:fill="E59EDC" w:themeFill="accent5" w:themeFillTint="6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9243B9" w:rsidRPr="009243B9" w:rsidRDefault="009243B9">
            <w:pPr>
              <w:rPr>
                <w:b/>
                <w:bCs/>
              </w:rPr>
            </w:pPr>
            <w:r w:rsidRPr="009243B9">
              <w:rPr>
                <w:rFonts w:ascii="Calibri" w:eastAsia="Calibri" w:hAnsi="Calibri"/>
                <w:b/>
                <w:bCs/>
                <w:sz w:val="20"/>
              </w:rPr>
              <w:t>Detail of changes made</w:t>
            </w:r>
          </w:p>
        </w:tc>
      </w:tr>
      <w:tr w:rsidR="009243B9" w:rsidTr="00A368EC">
        <w:trPr>
          <w:tblHeader/>
          <w:jc w:val="center"/>
        </w:trPr>
        <w:tc>
          <w:tcPr>
            <w:tcW w:w="988" w:type="dxa"/>
            <w:shd w:val="clear" w:color="auto" w:fill="E59EDC" w:themeFill="accent5" w:themeFillTint="6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9243B9" w:rsidRPr="009243B9" w:rsidRDefault="009243B9">
            <w:pPr>
              <w:rPr>
                <w:b/>
                <w:bCs/>
              </w:rPr>
            </w:pPr>
            <w:r w:rsidRPr="009243B9">
              <w:rPr>
                <w:rFonts w:ascii="Calibri" w:eastAsia="Calibri" w:hAnsi="Calibri"/>
                <w:b/>
                <w:bCs/>
                <w:sz w:val="20"/>
              </w:rPr>
              <w:t>Clause #</w:t>
            </w:r>
          </w:p>
        </w:tc>
        <w:tc>
          <w:tcPr>
            <w:tcW w:w="2976" w:type="dxa"/>
            <w:shd w:val="clear" w:color="auto" w:fill="E59EDC" w:themeFill="accent5" w:themeFillTint="6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9243B9" w:rsidRPr="009243B9" w:rsidRDefault="009243B9">
            <w:pPr>
              <w:rPr>
                <w:b/>
                <w:bCs/>
              </w:rPr>
            </w:pPr>
            <w:r w:rsidRPr="009243B9">
              <w:rPr>
                <w:rFonts w:ascii="Calibri" w:eastAsia="Calibri" w:hAnsi="Calibri"/>
                <w:b/>
                <w:bCs/>
                <w:sz w:val="20"/>
              </w:rPr>
              <w:t>Clause Title</w:t>
            </w:r>
          </w:p>
        </w:tc>
        <w:tc>
          <w:tcPr>
            <w:tcW w:w="993" w:type="dxa"/>
            <w:shd w:val="clear" w:color="auto" w:fill="E59EDC" w:themeFill="accent5" w:themeFillTint="6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9243B9" w:rsidRPr="009243B9" w:rsidRDefault="009243B9">
            <w:pPr>
              <w:rPr>
                <w:b/>
                <w:bCs/>
              </w:rPr>
            </w:pPr>
            <w:r w:rsidRPr="009243B9">
              <w:rPr>
                <w:rFonts w:ascii="Calibri" w:eastAsia="Calibri" w:hAnsi="Calibri"/>
                <w:b/>
                <w:bCs/>
                <w:sz w:val="20"/>
              </w:rPr>
              <w:t>Clause #</w:t>
            </w:r>
          </w:p>
        </w:tc>
        <w:tc>
          <w:tcPr>
            <w:tcW w:w="2976" w:type="dxa"/>
            <w:shd w:val="clear" w:color="auto" w:fill="E59EDC" w:themeFill="accent5" w:themeFillTint="66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9243B9" w:rsidRPr="009243B9" w:rsidRDefault="009243B9">
            <w:pPr>
              <w:rPr>
                <w:b/>
                <w:bCs/>
              </w:rPr>
            </w:pPr>
            <w:r w:rsidRPr="009243B9">
              <w:rPr>
                <w:rFonts w:ascii="Calibri" w:eastAsia="Calibri" w:hAnsi="Calibri"/>
                <w:b/>
                <w:bCs/>
                <w:sz w:val="20"/>
              </w:rPr>
              <w:t>Clause Tite</w:t>
            </w:r>
          </w:p>
        </w:tc>
        <w:tc>
          <w:tcPr>
            <w:tcW w:w="5954" w:type="dxa"/>
            <w:vMerge/>
            <w:shd w:val="clear" w:color="auto" w:fill="E59EDC" w:themeFill="accent5" w:themeFillTint="66"/>
          </w:tcPr>
          <w:p w:rsidR="009243B9" w:rsidRDefault="009243B9"/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Scope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Scope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 in the mandatory clause. The scope remains the requirements for an EMS with guidance for use.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Normative references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Normative references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substantive change identified. This remains unchanged in practical effect.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and definitions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and definitions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Terminology is refreshed and harmonised with current ISO drafting. This is mainly editorial rather than a new requirement.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organization and leadership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organization and leadership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No material requirement </w:t>
            </w:r>
            <w:r w:rsidR="00F732F7">
              <w:rPr>
                <w:rFonts w:ascii="Calibri" w:eastAsia="Calibri" w:hAnsi="Calibri"/>
                <w:sz w:val="18"/>
              </w:rPr>
              <w:t>changes</w:t>
            </w:r>
            <w:r>
              <w:rPr>
                <w:rFonts w:ascii="Calibri" w:eastAsia="Calibri" w:hAnsi="Calibri"/>
                <w:sz w:val="18"/>
              </w:rPr>
              <w:t xml:space="preserve"> identified; category retained with minor terminology refresh only.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planning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planning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 terminology is updated. 2026 aligns more clearly to the concept of 'risks and opportunities' rather than risk as a standalone requirement term.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support and operation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support and operation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 beyond minor editorial or terminology updates.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performance evaluation and improvement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3.4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Terms related to performance evaluation and improvement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No major requirement </w:t>
            </w:r>
            <w:r w:rsidR="00F732F7">
              <w:rPr>
                <w:rFonts w:ascii="Calibri" w:eastAsia="Calibri" w:hAnsi="Calibri"/>
                <w:sz w:val="18"/>
              </w:rPr>
              <w:t>changes</w:t>
            </w:r>
            <w:r>
              <w:rPr>
                <w:rFonts w:ascii="Calibri" w:eastAsia="Calibri" w:hAnsi="Calibri"/>
                <w:sz w:val="18"/>
              </w:rPr>
              <w:t xml:space="preserve"> identified; wording is refreshed to support the revised structure in later clauses.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Context of the organization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Context of the organization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Overall structure is retained, but the clause is strengthened mainly through broader treatment of environmental conditions in 4.1 and 4.2. 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Understanding the organization and its context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Understanding the organization and its context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2015+A1 added a climate change sentence. 2026 broadens this to wider environmental conditions that affect, or are affected by, the organization, e.g. pollution, natural resources, biodiversity and ecosystem health.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Understanding the needs and expectations of interested parties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Understanding the needs and expectations of interested parties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Pr="00472A32" w:rsidRDefault="00D30C67" w:rsidP="00D30C6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72A32">
              <w:rPr>
                <w:rFonts w:ascii="Calibri" w:eastAsia="Calibri" w:hAnsi="Calibri" w:cs="Calibri"/>
                <w:sz w:val="18"/>
                <w:szCs w:val="18"/>
              </w:rPr>
              <w:t>2015+A1 only added a climate-related note. 2026 broadens interested-party consideration to wider environmental conditions, not climate change alone. Now references pollution levels, availability of natural resources, climate change, biodiversity and ecosystem health</w:t>
            </w:r>
          </w:p>
          <w:p w:rsidR="00D30C67" w:rsidRPr="00472A32" w:rsidRDefault="00D30C67" w:rsidP="00D30C67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D30C67" w:rsidRPr="00472A32" w:rsidRDefault="00D30C67" w:rsidP="00D30C67">
            <w:pPr>
              <w:rPr>
                <w:rFonts w:ascii="Calibri" w:hAnsi="Calibri" w:cs="Calibri"/>
                <w:sz w:val="18"/>
                <w:szCs w:val="18"/>
              </w:rPr>
            </w:pPr>
            <w:r w:rsidRPr="00472A32">
              <w:rPr>
                <w:rFonts w:ascii="Calibri" w:hAnsi="Calibri" w:cs="Calibri"/>
                <w:sz w:val="18"/>
                <w:szCs w:val="18"/>
              </w:rPr>
              <w:t>Clause now also links more clearly to compliance obligations stating that needs and expectations of interested parties become a compliance obligation when the organisation decides to comply with them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Determining the scope of the environmental management system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Determining the scope of the environmental management system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Pr="00472A32" w:rsidRDefault="00D30C67" w:rsidP="00D30C6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472A32">
              <w:rPr>
                <w:rFonts w:ascii="Calibri" w:eastAsia="Calibri" w:hAnsi="Calibri" w:cs="Calibri"/>
                <w:sz w:val="18"/>
                <w:szCs w:val="18"/>
              </w:rPr>
              <w:t>No clear normative requirement change identified. Guidance is expanded, but the mandatory scope-setting requirements are broadly retained.</w:t>
            </w:r>
          </w:p>
          <w:p w:rsidR="00D30C67" w:rsidRPr="00472A32" w:rsidRDefault="00D30C67" w:rsidP="00D30C67">
            <w:pPr>
              <w:rPr>
                <w:rFonts w:ascii="Calibri" w:hAnsi="Calibri" w:cs="Calibri"/>
                <w:sz w:val="18"/>
                <w:szCs w:val="18"/>
              </w:rPr>
            </w:pPr>
            <w:r w:rsidRPr="00472A32">
              <w:rPr>
                <w:rFonts w:ascii="Calibri" w:hAnsi="Calibri" w:cs="Calibri"/>
                <w:sz w:val="18"/>
                <w:szCs w:val="18"/>
              </w:rPr>
              <w:t>4.3</w:t>
            </w:r>
            <w:r>
              <w:rPr>
                <w:rFonts w:ascii="Calibri" w:hAnsi="Calibri" w:cs="Calibri"/>
                <w:sz w:val="18"/>
                <w:szCs w:val="18"/>
              </w:rPr>
              <w:t>(</w:t>
            </w:r>
            <w:r w:rsidRPr="00472A32">
              <w:rPr>
                <w:rFonts w:ascii="Calibri" w:hAnsi="Calibri" w:cs="Calibri"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sz w:val="18"/>
                <w:szCs w:val="18"/>
              </w:rPr>
              <w:t>)</w:t>
            </w:r>
            <w:r w:rsidRPr="00472A32">
              <w:rPr>
                <w:rFonts w:ascii="Calibri" w:hAnsi="Calibri" w:cs="Calibri"/>
                <w:sz w:val="18"/>
                <w:szCs w:val="18"/>
              </w:rPr>
              <w:t xml:space="preserve"> expanded to reference control and influence over the life cycle of its activities. Also strengthens the need to make scope available to interested parties (No fundamental change)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management system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4.4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management system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direct clause change identified. In practice, broader inputs from 4.1 and 4.2 may require wider EMS consideration.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Leadership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Leadership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structural change identified; the clause remains broadly stable.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Leadership and commitment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Leadership and commitment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 Minor change to 5.1(</w:t>
            </w:r>
            <w:proofErr w:type="spellStart"/>
            <w:r>
              <w:rPr>
                <w:rFonts w:ascii="Calibri" w:eastAsia="Calibri" w:hAnsi="Calibri"/>
                <w:sz w:val="18"/>
              </w:rPr>
              <w:t>i</w:t>
            </w:r>
            <w:proofErr w:type="spellEnd"/>
            <w:r>
              <w:rPr>
                <w:rFonts w:ascii="Calibri" w:eastAsia="Calibri" w:hAnsi="Calibri"/>
                <w:sz w:val="18"/>
              </w:rPr>
              <w:t>) – clarifies that top management shall support all relevant roles other than just ‘management’ roles.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policy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policy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Pr="00C307D1" w:rsidRDefault="00D30C67" w:rsidP="00D30C67">
            <w:pPr>
              <w:rPr>
                <w:rFonts w:ascii="Calibri" w:eastAsia="Calibri" w:hAnsi="Calibri"/>
                <w:sz w:val="18"/>
                <w:szCs w:val="18"/>
              </w:rPr>
            </w:pPr>
            <w:r w:rsidRPr="00C307D1">
              <w:rPr>
                <w:rFonts w:ascii="Calibri" w:eastAsia="Calibri" w:hAnsi="Calibri"/>
                <w:sz w:val="18"/>
                <w:szCs w:val="18"/>
              </w:rPr>
              <w:t xml:space="preserve">No material requirement </w:t>
            </w:r>
            <w:r w:rsidR="00F732F7" w:rsidRPr="00C307D1">
              <w:rPr>
                <w:rFonts w:ascii="Calibri" w:eastAsia="Calibri" w:hAnsi="Calibri"/>
                <w:sz w:val="18"/>
                <w:szCs w:val="18"/>
              </w:rPr>
              <w:t>changes</w:t>
            </w:r>
            <w:r w:rsidRPr="00C307D1">
              <w:rPr>
                <w:rFonts w:ascii="Calibri" w:eastAsia="Calibri" w:hAnsi="Calibri"/>
                <w:sz w:val="18"/>
                <w:szCs w:val="18"/>
              </w:rPr>
              <w:t xml:space="preserve"> identified. Core commitments remain broadly the same.</w:t>
            </w:r>
          </w:p>
          <w:p w:rsidR="00D30C67" w:rsidRPr="00C307D1" w:rsidRDefault="00D30C67" w:rsidP="00D30C67">
            <w:pPr>
              <w:rPr>
                <w:rFonts w:ascii="Calibri" w:hAnsi="Calibri" w:cs="Calibri"/>
              </w:rPr>
            </w:pPr>
            <w:r w:rsidRPr="00C307D1">
              <w:rPr>
                <w:rFonts w:ascii="Calibri" w:hAnsi="Calibri" w:cs="Calibri"/>
                <w:sz w:val="18"/>
                <w:szCs w:val="18"/>
              </w:rPr>
              <w:t xml:space="preserve">NOTE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changed </w:t>
            </w:r>
            <w:r w:rsidRPr="00C307D1">
              <w:rPr>
                <w:rFonts w:ascii="Calibri" w:hAnsi="Calibri" w:cs="Calibri"/>
                <w:sz w:val="18"/>
                <w:szCs w:val="18"/>
              </w:rPr>
              <w:t>to clarify ‘other specific commitments</w:t>
            </w:r>
            <w:r>
              <w:rPr>
                <w:rFonts w:ascii="Calibri" w:hAnsi="Calibri" w:cs="Calibri"/>
                <w:sz w:val="18"/>
                <w:szCs w:val="18"/>
              </w:rPr>
              <w:t>’ to also include preservation and conservation of natural resources, in addition to previous comments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Organizational roles, responsibilities and authorities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5.3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Roles, responsibilities and authorities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Title simplified in 2026 by dropping 'Organizational'. No material requirement </w:t>
            </w:r>
            <w:r w:rsidR="00F732F7">
              <w:rPr>
                <w:rFonts w:ascii="Calibri" w:eastAsia="Calibri" w:hAnsi="Calibri"/>
                <w:sz w:val="18"/>
              </w:rPr>
              <w:t>changes</w:t>
            </w:r>
            <w:r>
              <w:rPr>
                <w:rFonts w:ascii="Calibri" w:eastAsia="Calibri" w:hAnsi="Calibri"/>
                <w:sz w:val="18"/>
              </w:rPr>
              <w:t xml:space="preserve">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This is the main area of change. Clause 6 is restructured, risks and opportunities are separated out, and new 6.3 Planning of changes is added.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Actions to address risks and opportunities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Actions to address risks and opportunities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Title retained, but the internal structure changes significantly from 2015 to 2026. 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2015 6.1.1 contained the core risk/opportunity and emergency-planning requirements. 2026 narrows 6.1.1 to establishing the processes and documented information for 6.1.2 to 6.1.5.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aspects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aspects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>NOTE 1 added to clarify life cycle perspective conforming that it includes consideration of aspects and impacts at each life cycle stage from acquisition of raw materials through to final disposal.</w:t>
            </w:r>
          </w:p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</w:p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>2026 requires t</w:t>
            </w:r>
            <w:r w:rsidRPr="001179E8">
              <w:rPr>
                <w:rFonts w:ascii="Calibri" w:eastAsia="Calibri" w:hAnsi="Calibri"/>
                <w:sz w:val="18"/>
              </w:rPr>
              <w:t xml:space="preserve">he organization </w:t>
            </w:r>
            <w:r>
              <w:rPr>
                <w:rFonts w:ascii="Calibri" w:eastAsia="Calibri" w:hAnsi="Calibri"/>
                <w:sz w:val="18"/>
              </w:rPr>
              <w:t xml:space="preserve">to </w:t>
            </w:r>
            <w:r w:rsidRPr="001179E8">
              <w:rPr>
                <w:rFonts w:ascii="Calibri" w:eastAsia="Calibri" w:hAnsi="Calibri"/>
                <w:sz w:val="18"/>
              </w:rPr>
              <w:t xml:space="preserve">determine potential emergency situations </w:t>
            </w:r>
            <w:r>
              <w:rPr>
                <w:rFonts w:ascii="Calibri" w:eastAsia="Calibri" w:hAnsi="Calibri"/>
                <w:sz w:val="18"/>
              </w:rPr>
              <w:t>potential emergency situations – previously covered under 6.1.1</w:t>
            </w:r>
          </w:p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br/>
              <w:t>When determining aspects organisations shall consider ‘</w:t>
            </w:r>
            <w:r w:rsidRPr="00D05FFC">
              <w:rPr>
                <w:rFonts w:ascii="Calibri" w:eastAsia="Calibri" w:hAnsi="Calibri"/>
                <w:sz w:val="18"/>
              </w:rPr>
              <w:t>potential emergency situations</w:t>
            </w:r>
            <w:r>
              <w:rPr>
                <w:rFonts w:ascii="Calibri" w:eastAsia="Calibri" w:hAnsi="Calibri"/>
                <w:sz w:val="18"/>
              </w:rPr>
              <w:t>’ (6.1.2c). Previous version stated ‘</w:t>
            </w:r>
            <w:r w:rsidRPr="0035754A">
              <w:rPr>
                <w:rFonts w:ascii="Calibri" w:eastAsia="Calibri" w:hAnsi="Calibri"/>
                <w:sz w:val="18"/>
              </w:rPr>
              <w:t>reasonably foreseeable emergency situations</w:t>
            </w:r>
            <w:r>
              <w:rPr>
                <w:rFonts w:ascii="Calibri" w:eastAsia="Calibri" w:hAnsi="Calibri"/>
                <w:sz w:val="18"/>
              </w:rPr>
              <w:t>’</w:t>
            </w:r>
          </w:p>
          <w:p w:rsidR="00D30C67" w:rsidRDefault="00D30C67" w:rsidP="00D30C67"/>
          <w:p w:rsidR="00D30C67" w:rsidRPr="00472A32" w:rsidRDefault="00D30C67" w:rsidP="00D30C67">
            <w:pPr>
              <w:rPr>
                <w:rFonts w:ascii="Calibri" w:hAnsi="Calibri" w:cs="Calibri"/>
                <w:sz w:val="18"/>
                <w:szCs w:val="18"/>
              </w:rPr>
            </w:pPr>
            <w:r w:rsidRPr="00472A32">
              <w:rPr>
                <w:rFonts w:ascii="Calibri" w:hAnsi="Calibri" w:cs="Calibri"/>
                <w:sz w:val="18"/>
                <w:szCs w:val="18"/>
              </w:rPr>
              <w:t>The requirement to determine aspects with a significant environmental impact remains. No change to documented information requirements other than a minor wording change.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Compliance obligations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Compliance obligations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No major substantive change identified; wording is refreshed 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 (risk and opportunity content embedded here)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Risks and opportunities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>New standalone subclause. In 2015, risks and opportunities were embedded within 6.1.1; 2026 separates them for clearer traceability.</w:t>
            </w:r>
          </w:p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</w:p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Reference to potential emergency situations within the 2015 standard are now located within 6.1.2 (see above)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 action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6.1.5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 action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 xml:space="preserve">Planning action moves from 2015 6.1.4 to 2026 6.1.5 because 6.1.4 is now a new risks-and-opportunities subclause. No fundamental change to requirements. Now links directly to clause numbers. </w:t>
            </w:r>
          </w:p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</w:p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Minor wording change within 6.1.5b. However, no change fundamentally.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objectives and planning to achieve them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objectives and planning to achieve them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>No material structural change identified; the clause remains broadly the same.</w:t>
            </w:r>
          </w:p>
          <w:p w:rsidR="00D30C67" w:rsidRDefault="00D30C67" w:rsidP="00D30C67"/>
          <w:p w:rsidR="00D30C67" w:rsidRPr="00472A32" w:rsidRDefault="00D30C67" w:rsidP="00D30C67">
            <w:pPr>
              <w:rPr>
                <w:rFonts w:ascii="Calibri" w:hAnsi="Calibri" w:cs="Calibri"/>
                <w:sz w:val="18"/>
                <w:szCs w:val="18"/>
              </w:rPr>
            </w:pPr>
            <w:r w:rsidRPr="00472A32">
              <w:rPr>
                <w:rFonts w:ascii="Calibri" w:hAnsi="Calibri" w:cs="Calibri"/>
                <w:sz w:val="18"/>
                <w:szCs w:val="18"/>
              </w:rPr>
              <w:t>6.2.1(f) added to cover documented information requirement, which was previously covered separately.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6.2.1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objectives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6.2.1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Environmental objectives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No major requirement </w:t>
            </w:r>
            <w:r w:rsidR="00F732F7">
              <w:rPr>
                <w:rFonts w:ascii="Calibri" w:eastAsia="Calibri" w:hAnsi="Calibri"/>
                <w:sz w:val="18"/>
              </w:rPr>
              <w:t>changes</w:t>
            </w:r>
            <w:r>
              <w:rPr>
                <w:rFonts w:ascii="Calibri" w:eastAsia="Calibri" w:hAnsi="Calibri"/>
                <w:sz w:val="18"/>
              </w:rPr>
              <w:t xml:space="preserve">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6.2.2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 actions to achieve environmental objectives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6.2.2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 actions to achieve environmental objectives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—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direct equivalent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6.3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Planning of changes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>New explicit requirement. Changes affecting, or capable of affecting, the EMS are to be planned and managed so intended EMS outcomes are achieved.</w:t>
            </w:r>
          </w:p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</w:p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Links to A.6.3 which details potential temporary and permanent changes that can impact environmental performance and states that organisations should review the consequences of unintended changes, taking action to mitigate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/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Support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major structural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Resources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Resources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No material requirement </w:t>
            </w:r>
            <w:r w:rsidR="00F732F7">
              <w:rPr>
                <w:rFonts w:ascii="Calibri" w:eastAsia="Calibri" w:hAnsi="Calibri"/>
                <w:sz w:val="18"/>
              </w:rPr>
              <w:t>changes</w:t>
            </w:r>
            <w:r>
              <w:rPr>
                <w:rFonts w:ascii="Calibri" w:eastAsia="Calibri" w:hAnsi="Calibri"/>
                <w:sz w:val="18"/>
              </w:rPr>
              <w:t xml:space="preserve">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Competence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Competence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No material requirement </w:t>
            </w:r>
            <w:r w:rsidR="00F732F7">
              <w:rPr>
                <w:rFonts w:ascii="Calibri" w:eastAsia="Calibri" w:hAnsi="Calibri"/>
                <w:sz w:val="18"/>
              </w:rPr>
              <w:t>changes</w:t>
            </w:r>
            <w:r>
              <w:rPr>
                <w:rFonts w:ascii="Calibri" w:eastAsia="Calibri" w:hAnsi="Calibri"/>
                <w:sz w:val="18"/>
              </w:rPr>
              <w:t xml:space="preserve"> identified. Documented Evidence wording is harmonised in 2026.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Awareness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Awareness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Communication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Communication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substantive requirement change identified. Evidence wording is updated to harmonised ISO phrasing.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identified; wording is substantially retained.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Internal communication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Internal communication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External communication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7.4.3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External communication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Documented information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Documented information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Terminology is harmonised. 2026 more consistently uses current ISO wording such as 'this document' and 'available as evidence'.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Creating and updating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Creating and updating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Control of documented information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7.5.3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Control of documented information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 beyond wording harmonisation.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8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Operation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Pr="00D30C67" w:rsidRDefault="00D30C67" w:rsidP="00D30C67">
            <w:r w:rsidRPr="00D30C67">
              <w:rPr>
                <w:rFonts w:ascii="Calibri" w:eastAsia="Calibri" w:hAnsi="Calibri"/>
                <w:sz w:val="18"/>
              </w:rPr>
              <w:t>8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Pr="00D30C67" w:rsidRDefault="00D30C67" w:rsidP="00D30C67">
            <w:r w:rsidRPr="00D30C67">
              <w:rPr>
                <w:rFonts w:ascii="Calibri" w:eastAsia="Calibri" w:hAnsi="Calibri"/>
                <w:sz w:val="18"/>
              </w:rPr>
              <w:t>Operation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major structural change identified, but 8.1 uses broader wording for external control.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8.1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Operational planning and control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8.1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Operational planning and control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pPr>
              <w:rPr>
                <w:rFonts w:ascii="Calibri" w:eastAsia="Calibri" w:hAnsi="Calibri"/>
                <w:sz w:val="18"/>
              </w:rPr>
            </w:pPr>
            <w:r>
              <w:rPr>
                <w:rFonts w:ascii="Calibri" w:eastAsia="Calibri" w:hAnsi="Calibri"/>
                <w:sz w:val="18"/>
              </w:rPr>
              <w:t>2026 broadens 'outsourced processes' to 'externally provided processes, products or services' relevant to EMS outcomes and requires the type and extent of control or influence to be defined.</w:t>
            </w:r>
          </w:p>
          <w:p w:rsidR="00D30C67" w:rsidRPr="00974C0B" w:rsidRDefault="00D30C67" w:rsidP="00D30C67">
            <w:pPr>
              <w:rPr>
                <w:rFonts w:ascii="Calibri" w:hAnsi="Calibri" w:cs="Calibri"/>
              </w:rPr>
            </w:pPr>
          </w:p>
          <w:p w:rsidR="00D30C67" w:rsidRPr="00472A32" w:rsidRDefault="00D30C67" w:rsidP="00D30C67">
            <w:pPr>
              <w:rPr>
                <w:sz w:val="18"/>
                <w:szCs w:val="18"/>
              </w:rPr>
            </w:pPr>
            <w:r w:rsidRPr="00974C0B">
              <w:rPr>
                <w:rFonts w:ascii="Calibri" w:hAnsi="Calibri" w:cs="Calibri"/>
                <w:sz w:val="18"/>
                <w:szCs w:val="18"/>
              </w:rPr>
              <w:t>Harmonisation of documented information requirements wording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8.2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Emergency preparedness and response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8.2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Emergency preparedness and response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Performance evaluation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Performance evaluation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Overall clause retained, but management review is split into clearer subclauses in 2026.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Monitoring, measurement, analysis and evaluation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Monitoring, measurement, analysis and evaluation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structural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9.1.1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9.1.1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identified; wording is refreshed only.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9.1.2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Evaluation of compliance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9.1.2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Evaluation of compliance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Internal audit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Internal audit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More specific description of documented information requirements. 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9.2.1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9.2.1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requirement change identified.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9.2.2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Internal audit programme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9.2.2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Internal audit programme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 w:rsidRPr="009C1FD0">
              <w:rPr>
                <w:rFonts w:ascii="Calibri" w:eastAsia="Calibri" w:hAnsi="Calibri"/>
                <w:sz w:val="18"/>
              </w:rPr>
              <w:t>More specific description of documented information requirements. The 2026 version specifies the need to retain the audit programme as documented information alongside implementation evidence.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 remains, but 2026 breaks the clause into 9.3.1, 9.3.2 and 9.3.3 for clearer structure.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 (general requirement embedded here)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New split-out subclause. The core review requirement already existed in 2015 9.3.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 (inputs embedded here)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 inputs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Inputs are separated into their own subclause. Content is broadly carried over from 2015 9.3.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 (results embedded here)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9.3.3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Management review results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 xml:space="preserve">Outputs/results are separated into their own subclause. Content is broadly carried over from 2015 9.3. Terminology </w:t>
            </w:r>
            <w:proofErr w:type="gramStart"/>
            <w:r>
              <w:rPr>
                <w:rFonts w:ascii="Calibri" w:eastAsia="Calibri" w:hAnsi="Calibri"/>
                <w:sz w:val="18"/>
              </w:rPr>
              <w:t>change</w:t>
            </w:r>
            <w:proofErr w:type="gramEnd"/>
            <w:r>
              <w:rPr>
                <w:rFonts w:ascii="Calibri" w:eastAsia="Calibri" w:hAnsi="Calibri"/>
                <w:sz w:val="18"/>
              </w:rPr>
              <w:t xml:space="preserve"> from ‘outputs’ to ‘results’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10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Improvement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10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Improvement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Clause is reordered. 2015 had 10.1 General and 10.3 Continual improvement; 2026 moves continual improvement to 10.1.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10.1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General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10.1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Continual improvement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2015 10.1 dealt with opportunities for improvement; 2026 10.1 new covers opportunities for improvement and continual improvement (previously clause 10.3)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10.2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Nonconformity and corrective action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10.2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Nonconformity and corrective action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material substantive change identified; evidence wording is harmonised.</w:t>
            </w:r>
          </w:p>
        </w:tc>
      </w:tr>
      <w:tr w:rsidR="00D30C67" w:rsidTr="00A368EC">
        <w:trPr>
          <w:jc w:val="center"/>
        </w:trPr>
        <w:tc>
          <w:tcPr>
            <w:tcW w:w="98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10.3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Continual improvement</w:t>
            </w:r>
          </w:p>
        </w:tc>
        <w:tc>
          <w:tcPr>
            <w:tcW w:w="99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—</w:t>
            </w:r>
          </w:p>
        </w:tc>
        <w:tc>
          <w:tcPr>
            <w:tcW w:w="297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No direct equivalent</w:t>
            </w:r>
          </w:p>
        </w:tc>
        <w:tc>
          <w:tcPr>
            <w:tcW w:w="59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D30C67" w:rsidRDefault="00D30C67" w:rsidP="00D30C67">
            <w:r>
              <w:rPr>
                <w:rFonts w:ascii="Calibri" w:eastAsia="Calibri" w:hAnsi="Calibri"/>
                <w:sz w:val="18"/>
              </w:rPr>
              <w:t>2015 separate clause removed. Continual improvement content is effectively absorbed into 2026 10.1.</w:t>
            </w:r>
          </w:p>
        </w:tc>
      </w:tr>
    </w:tbl>
    <w:p w:rsidR="00CC1EB8" w:rsidRDefault="00CC1EB8"/>
    <w:sectPr w:rsidR="00CC1EB8" w:rsidSect="009243B9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341F9" w:rsidRDefault="007341F9" w:rsidP="00FF5A9A">
      <w:pPr>
        <w:spacing w:after="0" w:line="240" w:lineRule="auto"/>
      </w:pPr>
      <w:r>
        <w:separator/>
      </w:r>
    </w:p>
  </w:endnote>
  <w:endnote w:type="continuationSeparator" w:id="0">
    <w:p w:rsidR="007341F9" w:rsidRDefault="007341F9" w:rsidP="00FF5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5A9A" w:rsidRDefault="00204138">
    <w:pPr>
      <w:pStyle w:val="Footer"/>
    </w:pPr>
    <w:r>
      <w:t>3C2C</w:t>
    </w:r>
    <w:r w:rsidR="005F6B03">
      <w:t>139 r01</w:t>
    </w:r>
  </w:p>
  <w:p w:rsidR="00FF5A9A" w:rsidRDefault="00FF5A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341F9" w:rsidRDefault="007341F9" w:rsidP="00FF5A9A">
      <w:pPr>
        <w:spacing w:after="0" w:line="240" w:lineRule="auto"/>
      </w:pPr>
      <w:r>
        <w:separator/>
      </w:r>
    </w:p>
  </w:footnote>
  <w:footnote w:type="continuationSeparator" w:id="0">
    <w:p w:rsidR="007341F9" w:rsidRDefault="007341F9" w:rsidP="00FF5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5A9A" w:rsidRPr="00062537" w:rsidRDefault="00062537" w:rsidP="00062537">
    <w:pPr>
      <w:pStyle w:val="Header"/>
      <w:jc w:val="center"/>
      <w:rPr>
        <w:b/>
        <w:bCs/>
      </w:rPr>
    </w:pPr>
    <w:r w:rsidRPr="00062537">
      <w:rPr>
        <w:rFonts w:ascii="Calibri" w:eastAsia="Times New Roman" w:hAnsi="Calibri" w:cs="Times New Roman"/>
        <w:b/>
        <w:bCs/>
        <w:noProof/>
        <w:kern w:val="0"/>
        <w:sz w:val="22"/>
        <w:szCs w:val="22"/>
        <w14:ligatures w14:val="none"/>
      </w:rPr>
      <w:t>ISO 14001: 2026 Gap Analysis</w:t>
    </w:r>
    <w:r>
      <w:rPr>
        <w:rFonts w:ascii="Calibri" w:eastAsia="Times New Roman" w:hAnsi="Calibri" w:cs="Times New Roman"/>
        <w:b/>
        <w:bCs/>
        <w:noProof/>
        <w:kern w:val="0"/>
        <w:sz w:val="22"/>
        <w:szCs w:val="22"/>
        <w14:ligatures w14:val="none"/>
      </w:rPr>
      <w:t xml:space="preserve">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561238B4" wp14:editId="141643BC">
          <wp:extent cx="669851" cy="857270"/>
          <wp:effectExtent l="0" t="0" r="0" b="0"/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3Core2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852" cy="884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F5A9A" w:rsidRDefault="00FF5A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9"/>
    <w:rsid w:val="0001449B"/>
    <w:rsid w:val="0002708F"/>
    <w:rsid w:val="00054EFD"/>
    <w:rsid w:val="00062537"/>
    <w:rsid w:val="00076044"/>
    <w:rsid w:val="00084800"/>
    <w:rsid w:val="00092EEE"/>
    <w:rsid w:val="000D1427"/>
    <w:rsid w:val="0012521C"/>
    <w:rsid w:val="00183458"/>
    <w:rsid w:val="00190477"/>
    <w:rsid w:val="001979E5"/>
    <w:rsid w:val="00204138"/>
    <w:rsid w:val="00237BD9"/>
    <w:rsid w:val="00252DBD"/>
    <w:rsid w:val="0028374F"/>
    <w:rsid w:val="002955D4"/>
    <w:rsid w:val="002958CF"/>
    <w:rsid w:val="002B1D2D"/>
    <w:rsid w:val="00327E37"/>
    <w:rsid w:val="00337E43"/>
    <w:rsid w:val="00343024"/>
    <w:rsid w:val="003D6741"/>
    <w:rsid w:val="004215B9"/>
    <w:rsid w:val="00422AAC"/>
    <w:rsid w:val="00472A32"/>
    <w:rsid w:val="004C48CC"/>
    <w:rsid w:val="004E2B43"/>
    <w:rsid w:val="004F6843"/>
    <w:rsid w:val="005F6B03"/>
    <w:rsid w:val="006850A5"/>
    <w:rsid w:val="006D1F7D"/>
    <w:rsid w:val="007169CE"/>
    <w:rsid w:val="007341F9"/>
    <w:rsid w:val="007555AC"/>
    <w:rsid w:val="007619E7"/>
    <w:rsid w:val="0078084B"/>
    <w:rsid w:val="00792F12"/>
    <w:rsid w:val="007A49D4"/>
    <w:rsid w:val="007E6516"/>
    <w:rsid w:val="007F0887"/>
    <w:rsid w:val="007F6C79"/>
    <w:rsid w:val="00812006"/>
    <w:rsid w:val="00845D9F"/>
    <w:rsid w:val="0085444A"/>
    <w:rsid w:val="00855224"/>
    <w:rsid w:val="00855D05"/>
    <w:rsid w:val="00861B91"/>
    <w:rsid w:val="00880E15"/>
    <w:rsid w:val="008C664C"/>
    <w:rsid w:val="008F5164"/>
    <w:rsid w:val="009063C6"/>
    <w:rsid w:val="009243B9"/>
    <w:rsid w:val="00943C56"/>
    <w:rsid w:val="0096597F"/>
    <w:rsid w:val="009D1B9B"/>
    <w:rsid w:val="009D5467"/>
    <w:rsid w:val="009E044A"/>
    <w:rsid w:val="00A368EC"/>
    <w:rsid w:val="00AC4F93"/>
    <w:rsid w:val="00B0277E"/>
    <w:rsid w:val="00BA0C6C"/>
    <w:rsid w:val="00BE15E5"/>
    <w:rsid w:val="00C307D1"/>
    <w:rsid w:val="00C7694C"/>
    <w:rsid w:val="00C9594F"/>
    <w:rsid w:val="00CC1EB8"/>
    <w:rsid w:val="00CD0B4F"/>
    <w:rsid w:val="00CD64F4"/>
    <w:rsid w:val="00CF4347"/>
    <w:rsid w:val="00D1065C"/>
    <w:rsid w:val="00D15D27"/>
    <w:rsid w:val="00D23A93"/>
    <w:rsid w:val="00D30C67"/>
    <w:rsid w:val="00D35413"/>
    <w:rsid w:val="00D60919"/>
    <w:rsid w:val="00D77D3F"/>
    <w:rsid w:val="00DB15A4"/>
    <w:rsid w:val="00DF3026"/>
    <w:rsid w:val="00E100A9"/>
    <w:rsid w:val="00EB46C2"/>
    <w:rsid w:val="00ED6DC5"/>
    <w:rsid w:val="00F732F7"/>
    <w:rsid w:val="00FB61DC"/>
    <w:rsid w:val="00FE431E"/>
    <w:rsid w:val="00FF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94E9A"/>
  <w15:chartTrackingRefBased/>
  <w15:docId w15:val="{9053DDB2-C997-4823-B1A8-09582CD5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4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3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3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3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3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3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3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3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3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3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3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3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3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3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4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5A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A9A"/>
  </w:style>
  <w:style w:type="paragraph" w:styleId="Footer">
    <w:name w:val="footer"/>
    <w:basedOn w:val="Normal"/>
    <w:link w:val="FooterChar"/>
    <w:uiPriority w:val="99"/>
    <w:unhideWhenUsed/>
    <w:rsid w:val="00FF5A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Williams</dc:creator>
  <cp:keywords/>
  <dc:description/>
  <cp:lastModifiedBy>ncomms</cp:lastModifiedBy>
  <cp:revision>1</cp:revision>
  <dcterms:created xsi:type="dcterms:W3CDTF">2026-04-25T13:13:00Z</dcterms:created>
  <dcterms:modified xsi:type="dcterms:W3CDTF">2026-04-25T13:13:00Z</dcterms:modified>
</cp:coreProperties>
</file>